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7</w:t>
      </w:r>
      <w:r>
        <w:rPr>
          <w:rFonts w:hint="eastAsia" w:ascii="仿宋_GB2312" w:hAnsi="宋体" w:eastAsia="仿宋_GB2312"/>
          <w:sz w:val="28"/>
        </w:rPr>
        <w:t>〕</w:t>
      </w:r>
      <w:r>
        <w:rPr>
          <w:rFonts w:hint="eastAsia" w:ascii="仿宋_GB2312" w:hAnsi="宋体" w:eastAsia="仿宋_GB2312"/>
          <w:sz w:val="28"/>
          <w:lang w:val="en-US" w:eastAsia="zh-CN"/>
        </w:rPr>
        <w:t>22</w:t>
      </w:r>
      <w:r>
        <w:rPr>
          <w:rFonts w:hint="eastAsia" w:ascii="仿宋_GB2312" w:hAnsi="宋体" w:eastAsia="仿宋_GB2312"/>
          <w:sz w:val="28"/>
        </w:rPr>
        <w:t>号</w:t>
      </w:r>
    </w:p>
    <w:p>
      <w:pPr>
        <w:pStyle w:val="4"/>
        <w:snapToGrid w:val="0"/>
        <w:jc w:val="center"/>
        <w:rPr>
          <w:rFonts w:hint="eastAsia" w:ascii="华文中宋" w:hAnsi="华文中宋" w:eastAsia="华文中宋"/>
          <w:b/>
          <w:sz w:val="32"/>
          <w:szCs w:val="32"/>
        </w:rPr>
      </w:pPr>
      <w:r>
        <w:rPr>
          <w:rFonts w:ascii="华文中宋" w:hAnsi="华文中宋" w:eastAsia="华文中宋"/>
          <w:b/>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0288;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fill on="f" focussize="0,0"/>
                <v:stroke weight="4.5pt" color="#FF0000" linestyle="thickThin"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8240;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fill on="f" focussize="0,0"/>
                <v:stroke weight="4.5pt" color="#FF0000" linestyle="thickThin" joinstyle="round"/>
                <v:imagedata o:title=""/>
                <o:lock v:ext="edit" aspectratio="f"/>
              </v:line>
            </w:pict>
          </mc:Fallback>
        </mc:AlternateContent>
      </w:r>
      <w:r>
        <w:rPr>
          <w:rFonts w:hint="eastAsia" w:ascii="华文中宋" w:hAnsi="华文中宋" w:eastAsia="华文中宋"/>
          <w:b/>
          <w:sz w:val="32"/>
          <w:szCs w:val="32"/>
        </w:rPr>
        <w:t>能源与</w:t>
      </w:r>
      <w:r>
        <w:rPr>
          <w:rFonts w:ascii="华文中宋" w:hAnsi="华文中宋" w:eastAsia="华文中宋"/>
          <w:b/>
          <w:sz w:val="32"/>
          <w:szCs w:val="32"/>
        </w:rPr>
        <w:t>环境工程学院</w:t>
      </w:r>
      <w:r>
        <w:rPr>
          <w:rFonts w:hint="eastAsia" w:ascii="华文中宋" w:hAnsi="华文中宋" w:eastAsia="华文中宋"/>
          <w:b/>
          <w:sz w:val="32"/>
          <w:szCs w:val="32"/>
          <w:lang w:eastAsia="zh-CN"/>
        </w:rPr>
        <w:t>本科生课程成绩管理办法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为做好本科生成绩管理工作，根据《校发[2010]65号 北京科技大学本科生成绩考核及成绩管理办法》、《北京科技大学本科课堂教学工作规范》等文件规定制定本办法。</w:t>
      </w:r>
    </w:p>
    <w:p>
      <w:pPr>
        <w:rPr>
          <w:rFonts w:hint="eastAsia" w:ascii="仿宋" w:hAnsi="仿宋" w:eastAsia="仿宋" w:cs="仿宋"/>
          <w:b/>
          <w:sz w:val="28"/>
          <w:szCs w:val="28"/>
        </w:rPr>
      </w:pPr>
      <w:r>
        <w:rPr>
          <w:rFonts w:hint="eastAsia" w:ascii="仿宋" w:hAnsi="仿宋" w:eastAsia="仿宋" w:cs="仿宋"/>
          <w:b/>
          <w:sz w:val="28"/>
          <w:szCs w:val="28"/>
        </w:rPr>
        <w:t>一、成绩评定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课程成绩评定实行百分制，满60分即取得相应课程学分，任课教师在开课初将课程考核成绩中的平时成绩和考试成绩两部分占比向学生说明。</w:t>
      </w:r>
    </w:p>
    <w:p>
      <w:pPr>
        <w:rPr>
          <w:rFonts w:hint="eastAsia" w:ascii="仿宋" w:hAnsi="仿宋" w:eastAsia="仿宋" w:cs="仿宋"/>
          <w:b/>
          <w:sz w:val="28"/>
          <w:szCs w:val="28"/>
        </w:rPr>
      </w:pPr>
      <w:r>
        <w:rPr>
          <w:rFonts w:hint="eastAsia" w:ascii="仿宋" w:hAnsi="仿宋" w:eastAsia="仿宋" w:cs="仿宋"/>
          <w:b/>
          <w:sz w:val="28"/>
          <w:szCs w:val="28"/>
        </w:rPr>
        <w:t>二、成绩管理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课程考试结束一周内，任课教师登录本科教学网“教务管理系统”录入成绩，打印“课程成绩单”并签字，加盖学院公章后交学院存档。学院收到课程成绩单后即可在成绩管理系统中将相应课程审核入库，一旦审核入库后，教师将不能再对课程成绩进行修改。</w:t>
      </w:r>
    </w:p>
    <w:p>
      <w:pPr>
        <w:rPr>
          <w:rFonts w:hint="eastAsia" w:ascii="仿宋" w:hAnsi="仿宋" w:eastAsia="仿宋" w:cs="仿宋"/>
          <w:b/>
          <w:sz w:val="28"/>
          <w:szCs w:val="28"/>
        </w:rPr>
      </w:pPr>
      <w:r>
        <w:rPr>
          <w:rFonts w:hint="eastAsia" w:ascii="仿宋" w:hAnsi="仿宋" w:eastAsia="仿宋" w:cs="仿宋"/>
          <w:b/>
          <w:sz w:val="28"/>
          <w:szCs w:val="28"/>
        </w:rPr>
        <w:t>三、成绩勘误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成绩审核入库后如要变动，需在教务管理系统中，提交成绩勘误申请，写明勘误原因，打印“课程勘误成绩单”并签字，到学院盖章后交教务处注册中心进行勘误审核。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如有学生在成绩发布后两周内对课程成绩提出申诉，任课老师应在收到申诉书后两周内给予答复，如需修改成绩，按照成绩勘误流程进行勘误。</w:t>
      </w:r>
    </w:p>
    <w:p>
      <w:pPr>
        <w:rPr>
          <w:rFonts w:hint="eastAsia" w:ascii="仿宋" w:hAnsi="仿宋" w:eastAsia="仿宋" w:cs="仿宋"/>
          <w:b/>
          <w:sz w:val="28"/>
          <w:szCs w:val="28"/>
        </w:rPr>
      </w:pPr>
      <w:r>
        <w:rPr>
          <w:rFonts w:hint="eastAsia" w:ascii="仿宋" w:hAnsi="仿宋" w:eastAsia="仿宋" w:cs="仿宋"/>
          <w:b/>
          <w:sz w:val="28"/>
          <w:szCs w:val="28"/>
        </w:rPr>
        <w:t>四、补考成绩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必修课有不及格情况，需要在每学期开学初第1~2周内进行补考（以过程考核为主的课程除外），补考由学校、学院统一安排。任课教师在补考结束后一周内，通过本科教学网“教务管理系统”录入课程补考成绩，打印“课程补考成绩单”并签字，加盖学院公章后交学院存档，由学院并审核入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本办法自颁布之日起执行，由能源与环境工程学院</w:t>
      </w:r>
      <w:r>
        <w:rPr>
          <w:rFonts w:hint="eastAsia" w:ascii="仿宋" w:hAnsi="仿宋" w:eastAsia="仿宋" w:cs="仿宋"/>
          <w:sz w:val="28"/>
          <w:szCs w:val="28"/>
          <w:lang w:eastAsia="zh-CN"/>
        </w:rPr>
        <w:t>教学委员会</w:t>
      </w:r>
      <w:r>
        <w:rPr>
          <w:rFonts w:hint="eastAsia" w:ascii="仿宋" w:hAnsi="仿宋" w:eastAsia="仿宋" w:cs="仿宋"/>
          <w:sz w:val="28"/>
          <w:szCs w:val="28"/>
        </w:rPr>
        <w:t>负责解释。</w:t>
      </w:r>
    </w:p>
    <w:p>
      <w:pPr>
        <w:ind w:firstLine="560" w:firstLineChars="200"/>
        <w:rPr>
          <w:rFonts w:ascii="宋体" w:hAnsi="宋体" w:eastAsia="宋体"/>
          <w:sz w:val="28"/>
          <w:szCs w:val="28"/>
        </w:rPr>
      </w:pPr>
    </w:p>
    <w:p>
      <w:pPr>
        <w:rPr>
          <w:rFonts w:ascii="宋体" w:hAnsi="宋体" w:eastAsia="宋体"/>
          <w:sz w:val="28"/>
          <w:szCs w:val="28"/>
        </w:rPr>
      </w:pPr>
    </w:p>
    <w:p>
      <w:pPr>
        <w:pStyle w:val="9"/>
        <w:widowControl/>
        <w:spacing w:line="480" w:lineRule="exact"/>
        <w:ind w:firstLineChars="150"/>
        <w:jc w:val="right"/>
        <w:rPr>
          <w:rFonts w:ascii="仿宋" w:hAnsi="仿宋" w:eastAsia="仿宋"/>
          <w:sz w:val="28"/>
          <w:szCs w:val="28"/>
        </w:rPr>
      </w:pPr>
      <w:r>
        <w:rPr>
          <w:rFonts w:hint="eastAsia" w:ascii="仿宋" w:hAnsi="仿宋" w:eastAsia="仿宋"/>
          <w:sz w:val="28"/>
          <w:szCs w:val="28"/>
        </w:rPr>
        <w:t>能源与环境工程学院</w:t>
      </w:r>
    </w:p>
    <w:p>
      <w:pPr>
        <w:pStyle w:val="9"/>
        <w:widowControl/>
        <w:spacing w:line="480" w:lineRule="exact"/>
        <w:ind w:firstLineChars="150"/>
        <w:jc w:val="right"/>
        <w:rPr>
          <w:rFonts w:ascii="宋体" w:hAnsi="宋体" w:eastAsia="宋体"/>
          <w:sz w:val="28"/>
          <w:szCs w:val="28"/>
        </w:rPr>
      </w:pPr>
      <w:r>
        <w:rPr>
          <w:rFonts w:hint="eastAsia" w:ascii="仿宋" w:hAnsi="仿宋" w:eastAsia="仿宋"/>
          <w:sz w:val="28"/>
          <w:szCs w:val="28"/>
        </w:rPr>
        <w:t>二〇一</w:t>
      </w:r>
      <w:r>
        <w:rPr>
          <w:rFonts w:hint="eastAsia" w:ascii="仿宋" w:hAnsi="仿宋" w:eastAsia="仿宋"/>
          <w:sz w:val="28"/>
          <w:szCs w:val="28"/>
          <w:lang w:eastAsia="zh-CN"/>
        </w:rPr>
        <w:t>七</w:t>
      </w:r>
      <w:r>
        <w:rPr>
          <w:rFonts w:hint="eastAsia" w:ascii="仿宋" w:hAnsi="仿宋" w:eastAsia="仿宋"/>
          <w:sz w:val="28"/>
          <w:szCs w:val="28"/>
        </w:rPr>
        <w:t>年十</w:t>
      </w:r>
      <w:r>
        <w:rPr>
          <w:rFonts w:hint="eastAsia" w:ascii="仿宋" w:hAnsi="仿宋" w:eastAsia="仿宋"/>
          <w:sz w:val="28"/>
          <w:szCs w:val="28"/>
          <w:lang w:eastAsia="zh-CN"/>
        </w:rPr>
        <w:t>二</w:t>
      </w:r>
      <w:r>
        <w:rPr>
          <w:rFonts w:hint="eastAsia" w:ascii="仿宋" w:hAnsi="仿宋" w:eastAsia="仿宋"/>
          <w:sz w:val="28"/>
          <w:szCs w:val="28"/>
        </w:rPr>
        <w:t>月二十日</w:t>
      </w:r>
    </w:p>
    <w:p>
      <w:pPr>
        <w:rPr>
          <w:rFonts w:ascii="宋体" w:hAnsi="宋体" w:eastAsia="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1F"/>
    <w:rsid w:val="00011AD7"/>
    <w:rsid w:val="00075D56"/>
    <w:rsid w:val="00124D23"/>
    <w:rsid w:val="00127B87"/>
    <w:rsid w:val="001803C7"/>
    <w:rsid w:val="00266F00"/>
    <w:rsid w:val="00285C56"/>
    <w:rsid w:val="004653C1"/>
    <w:rsid w:val="00492D68"/>
    <w:rsid w:val="004E27F8"/>
    <w:rsid w:val="0052482F"/>
    <w:rsid w:val="006358B6"/>
    <w:rsid w:val="006A0BA3"/>
    <w:rsid w:val="008067DC"/>
    <w:rsid w:val="00831BA7"/>
    <w:rsid w:val="00870F73"/>
    <w:rsid w:val="008C16F3"/>
    <w:rsid w:val="009273EC"/>
    <w:rsid w:val="009D5FB2"/>
    <w:rsid w:val="00A12110"/>
    <w:rsid w:val="00A40F7B"/>
    <w:rsid w:val="00A527E2"/>
    <w:rsid w:val="00AF1398"/>
    <w:rsid w:val="00B404A8"/>
    <w:rsid w:val="00BC0A1F"/>
    <w:rsid w:val="00C64E8C"/>
    <w:rsid w:val="00D7697F"/>
    <w:rsid w:val="00DE3EF8"/>
    <w:rsid w:val="00E80A56"/>
    <w:rsid w:val="00F71CE8"/>
    <w:rsid w:val="00FA0AA6"/>
    <w:rsid w:val="1F8E00F8"/>
    <w:rsid w:val="337F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Words>
  <Characters>513</Characters>
  <Lines>4</Lines>
  <Paragraphs>1</Paragraphs>
  <ScaleCrop>false</ScaleCrop>
  <LinksUpToDate>false</LinksUpToDate>
  <CharactersWithSpaces>601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2017-12-28T02:06:00Z</dcterms:created>
  <dc:creator>Mo9271</dc:creator>
  <cp:lastModifiedBy>wangjingjing</cp:lastModifiedBy>
  <dcterms:modified xsi:type="dcterms:W3CDTF">2018-03-29T03:07:31Z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