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jc w:val="center"/>
        <w:rPr>
          <w:rFonts w:ascii="宋体" w:hAnsi="宋体"/>
          <w:b/>
          <w:color w:val="FF0000"/>
          <w:sz w:val="52"/>
          <w:szCs w:val="52"/>
        </w:rPr>
      </w:pPr>
      <w:r>
        <w:rPr>
          <w:rFonts w:hint="eastAsia" w:ascii="宋体" w:hAnsi="宋体"/>
          <w:b/>
          <w:color w:val="FF0000"/>
          <w:sz w:val="52"/>
          <w:szCs w:val="52"/>
        </w:rPr>
        <w:t>北京科技大学能源与环境工程学院</w:t>
      </w:r>
    </w:p>
    <w:p>
      <w:pPr>
        <w:spacing w:line="460" w:lineRule="exact"/>
        <w:jc w:val="center"/>
        <w:rPr>
          <w:rFonts w:ascii="仿宋_GB2312" w:hAnsi="宋体" w:eastAsia="仿宋_GB2312"/>
          <w:sz w:val="28"/>
        </w:rPr>
      </w:pPr>
      <w:r>
        <w:rPr>
          <w:rFonts w:hint="eastAsia" w:ascii="仿宋_GB2312" w:hAnsi="宋体" w:eastAsia="仿宋_GB2312"/>
          <w:sz w:val="28"/>
        </w:rPr>
        <w:t>能发〔201</w:t>
      </w:r>
      <w:r>
        <w:rPr>
          <w:rFonts w:hint="eastAsia" w:ascii="仿宋_GB2312" w:hAnsi="宋体" w:eastAsia="仿宋_GB2312"/>
          <w:sz w:val="28"/>
          <w:lang w:val="en-US" w:eastAsia="zh-CN"/>
        </w:rPr>
        <w:t>6</w:t>
      </w:r>
      <w:r>
        <w:rPr>
          <w:rFonts w:hint="eastAsia" w:ascii="仿宋_GB2312" w:hAnsi="宋体" w:eastAsia="仿宋_GB2312"/>
          <w:sz w:val="28"/>
        </w:rPr>
        <w:t>〕</w:t>
      </w:r>
      <w:r>
        <w:rPr>
          <w:rFonts w:ascii="仿宋_GB2312" w:hAnsi="宋体" w:eastAsia="仿宋_GB2312"/>
          <w:sz w:val="28"/>
        </w:rPr>
        <w:t>1</w:t>
      </w:r>
      <w:r>
        <w:rPr>
          <w:rFonts w:hint="eastAsia" w:ascii="仿宋_GB2312" w:hAnsi="宋体" w:eastAsia="仿宋_GB2312"/>
          <w:sz w:val="28"/>
          <w:lang w:val="en-US" w:eastAsia="zh-CN"/>
        </w:rPr>
        <w:t>6</w:t>
      </w:r>
      <w:r>
        <w:rPr>
          <w:rFonts w:hint="eastAsia" w:ascii="仿宋_GB2312" w:hAnsi="宋体" w:eastAsia="仿宋_GB2312"/>
          <w:sz w:val="28"/>
        </w:rPr>
        <w:t>号</w:t>
      </w:r>
    </w:p>
    <w:p>
      <w:pPr>
        <w:pStyle w:val="2"/>
        <w:snapToGrid w:val="0"/>
        <w:jc w:val="center"/>
        <w:rPr>
          <w:rFonts w:hint="eastAsia" w:ascii="华文中宋" w:hAnsi="华文中宋" w:eastAsia="华文中宋"/>
          <w:b/>
          <w:sz w:val="32"/>
          <w:szCs w:val="32"/>
        </w:rPr>
      </w:pPr>
      <w:r>
        <w:rPr>
          <w:rFonts w:ascii="华文中宋" w:hAnsi="华文中宋" w:eastAsia="华文中宋"/>
          <w:b/>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53340</wp:posOffset>
                </wp:positionV>
                <wp:extent cx="5305425" cy="0"/>
                <wp:effectExtent l="0" t="28575" r="9525" b="28575"/>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57150" cmpd="thickThin">
                          <a:solidFill>
                            <a:srgbClr val="FF0000"/>
                          </a:solidFill>
                          <a:round/>
                        </a:ln>
                        <a:effectLst/>
                      </wps:spPr>
                      <wps:bodyPr/>
                    </wps:wsp>
                  </a:graphicData>
                </a:graphic>
              </wp:anchor>
            </w:drawing>
          </mc:Choice>
          <mc:Fallback>
            <w:pict>
              <v:line id="直接连接符 1" o:spid="_x0000_s1026" o:spt="20" style="position:absolute;left:0pt;margin-left:-0.75pt;margin-top:4.2pt;height:0pt;width:417.75pt;z-index:251660288;mso-width-relative:page;mso-height-relative:page;" filled="f" stroked="t" coordsize="21600,21600" o:gfxdata="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EsKTSAAAABgEAAA8AAAAAAAAAAQAg&#10;AAAAIgAAAGRycy9kb3ducmV2LnhtbFBLAQIUABQAAAAIAIdO4kAdCT4X2wEAAHwDAAAOAAAAAAAA&#10;AAEAIAAAACEBAABkcnMvZTJvRG9jLnhtbFBLBQYAAAAABgAGAFkBAABuBQAAAAA=&#10;">
                <v:fill on="f" focussize="0,0"/>
                <v:stroke weight="4.5pt" color="#FF0000" linestyle="thickThin" joinstyle="round"/>
                <v:imagedata o:title=""/>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53340</wp:posOffset>
                </wp:positionV>
                <wp:extent cx="5305425" cy="0"/>
                <wp:effectExtent l="0" t="28575" r="9525" b="28575"/>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57150" cmpd="thickThin">
                          <a:solidFill>
                            <a:srgbClr val="FF0000"/>
                          </a:solidFill>
                          <a:round/>
                        </a:ln>
                        <a:effectLst/>
                      </wps:spPr>
                      <wps:bodyPr/>
                    </wps:wsp>
                  </a:graphicData>
                </a:graphic>
              </wp:anchor>
            </w:drawing>
          </mc:Choice>
          <mc:Fallback>
            <w:pict>
              <v:line id="Line 3" o:spid="_x0000_s1026" o:spt="20" style="position:absolute;left:0pt;margin-left:-0.75pt;margin-top:4.2pt;height:0pt;width:417.75pt;z-index:251658240;mso-width-relative:page;mso-height-relative:page;" filled="f" stroked="t" coordsize="21600,21600" o:gfxdata="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wEsKTSAAAABgEAAA8AAAAAAAAAAQAgAAAAIgAAAGRycy9kb3ducmV2LnhtbFBLAQIU&#10;ABQAAAAIAIdO4kANdR3jwAEAAHEDAAAOAAAAAAAAAAEAIAAAACEBAABkcnMvZTJvRG9jLnhtbFBL&#10;BQYAAAAABgAGAFkBAABTBQAAAAA=&#10;">
                <v:fill on="f" focussize="0,0"/>
                <v:stroke weight="4.5pt" color="#FF0000" linestyle="thickThin" joinstyle="round"/>
                <v:imagedata o:title=""/>
                <o:lock v:ext="edit" aspectratio="f"/>
              </v:line>
            </w:pict>
          </mc:Fallback>
        </mc:AlternateContent>
      </w:r>
      <w:r>
        <w:rPr>
          <w:rFonts w:hint="eastAsia" w:ascii="华文中宋" w:hAnsi="华文中宋" w:eastAsia="华文中宋"/>
          <w:b/>
          <w:sz w:val="32"/>
          <w:szCs w:val="32"/>
        </w:rPr>
        <w:t>能源与</w:t>
      </w:r>
      <w:r>
        <w:rPr>
          <w:rFonts w:ascii="华文中宋" w:hAnsi="华文中宋" w:eastAsia="华文中宋"/>
          <w:b/>
          <w:sz w:val="32"/>
          <w:szCs w:val="32"/>
        </w:rPr>
        <w:t>环境工程学院</w:t>
      </w:r>
      <w:r>
        <w:rPr>
          <w:rFonts w:hint="eastAsia" w:ascii="华文中宋" w:hAnsi="华文中宋" w:eastAsia="华文中宋"/>
          <w:b/>
          <w:sz w:val="32"/>
          <w:szCs w:val="32"/>
          <w:lang w:eastAsia="zh-CN"/>
        </w:rPr>
        <w:t>本科教育教学督导组工作细则</w:t>
      </w:r>
    </w:p>
    <w:p>
      <w:pPr>
        <w:pStyle w:val="2"/>
        <w:keepNext w:val="0"/>
        <w:keepLines w:val="0"/>
        <w:widowControl/>
        <w:suppressLineNumbers w:val="0"/>
        <w:shd w:val="clear" w:fill="FFFFFF"/>
        <w:spacing w:before="0" w:beforeAutospacing="0" w:after="0" w:afterAutospacing="0" w:line="540" w:lineRule="atLeast"/>
        <w:ind w:right="0" w:firstLine="560" w:firstLineChars="200"/>
        <w:jc w:val="both"/>
        <w:rPr>
          <w:rFonts w:hint="eastAsia" w:ascii="黑体" w:hAnsi="宋体" w:eastAsia="黑体" w:cs="黑体"/>
          <w:b w:val="0"/>
          <w:i w:val="0"/>
          <w:caps w:val="0"/>
          <w:color w:val="000000" w:themeColor="text1"/>
          <w:spacing w:val="0"/>
          <w:sz w:val="28"/>
          <w:szCs w:val="28"/>
          <w:highlight w:val="none"/>
          <w:shd w:val="clear" w:fill="FFFFFF"/>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为落实学校关于校院两级教学督导工作制度的要求，</w:t>
      </w:r>
      <w:r>
        <w:rPr>
          <w:rFonts w:hint="eastAsia" w:ascii="仿宋_GB2312" w:hAnsi="宋体" w:eastAsia="仿宋_GB2312" w:cs="宋体"/>
          <w:color w:val="000000" w:themeColor="text1"/>
          <w:kern w:val="0"/>
          <w:sz w:val="28"/>
          <w:szCs w:val="28"/>
          <w:highlight w:val="none"/>
          <w14:textFill>
            <w14:solidFill>
              <w14:schemeClr w14:val="tx1"/>
            </w14:solidFill>
          </w14:textFill>
        </w:rPr>
        <w:t>进一步健全学院教学督导工作的组织体系，加强学院对教学质量的自我监控与保障，</w:t>
      </w:r>
      <w:r>
        <w:rPr>
          <w:rFonts w:hint="eastAsia" w:ascii="仿宋" w:hAnsi="仿宋" w:eastAsia="仿宋" w:cs="仿宋"/>
          <w:b w:val="0"/>
          <w:i w:val="0"/>
          <w:caps w:val="0"/>
          <w:color w:val="000000" w:themeColor="text1"/>
          <w:spacing w:val="0"/>
          <w:sz w:val="28"/>
          <w:szCs w:val="28"/>
          <w:highlight w:val="none"/>
          <w:shd w:val="clear" w:fill="FFFFFF"/>
          <w:lang w:eastAsia="zh-CN"/>
          <w14:textFill>
            <w14:solidFill>
              <w14:schemeClr w14:val="tx1"/>
            </w14:solidFill>
          </w14:textFill>
        </w:rPr>
        <w:t>根据</w:t>
      </w:r>
      <w:r>
        <w:rPr>
          <w:rFonts w:ascii="仿宋" w:hAnsi="仿宋" w:eastAsia="仿宋" w:cs="仿宋"/>
          <w:b w:val="0"/>
          <w:i w:val="0"/>
          <w:caps w:val="0"/>
          <w:color w:val="000000" w:themeColor="text1"/>
          <w:spacing w:val="0"/>
          <w:sz w:val="28"/>
          <w:szCs w:val="28"/>
          <w:highlight w:val="none"/>
          <w:shd w:val="clear" w:fill="FFFFFF"/>
          <w14:textFill>
            <w14:solidFill>
              <w14:schemeClr w14:val="tx1"/>
            </w14:solidFill>
          </w14:textFill>
        </w:rPr>
        <w:t>《</w:t>
      </w:r>
      <w:r>
        <w:rPr>
          <w:rFonts w:hint="eastAsia" w:ascii="仿宋" w:hAnsi="仿宋" w:eastAsia="仿宋" w:cs="仿宋"/>
          <w:b w:val="0"/>
          <w:i w:val="0"/>
          <w:caps w:val="0"/>
          <w:color w:val="000000" w:themeColor="text1"/>
          <w:spacing w:val="0"/>
          <w:sz w:val="28"/>
          <w:szCs w:val="28"/>
          <w:highlight w:val="none"/>
          <w:shd w:val="clear" w:fill="FFFFFF"/>
          <w:lang w:eastAsia="zh-CN"/>
          <w14:textFill>
            <w14:solidFill>
              <w14:schemeClr w14:val="tx1"/>
            </w14:solidFill>
          </w14:textFill>
        </w:rPr>
        <w:t>北京科技大学本科教育教学督导组工作管理办法</w:t>
      </w:r>
      <w:r>
        <w:rPr>
          <w:rFonts w:hint="eastAsia" w:ascii="仿宋" w:hAnsi="仿宋" w:eastAsia="仿宋" w:cs="仿宋"/>
          <w:b w:val="0"/>
          <w:i w:val="0"/>
          <w:caps w:val="0"/>
          <w:color w:val="000000" w:themeColor="text1"/>
          <w:spacing w:val="0"/>
          <w:sz w:val="28"/>
          <w:szCs w:val="28"/>
          <w:highlight w:val="none"/>
          <w:shd w:val="clear" w:fill="FFFFFF"/>
          <w14:textFill>
            <w14:solidFill>
              <w14:schemeClr w14:val="tx1"/>
            </w14:solidFill>
          </w14:textFill>
        </w:rPr>
        <w:t>》</w:t>
      </w:r>
      <w:r>
        <w:rPr>
          <w:rFonts w:hint="eastAsia" w:ascii="仿宋" w:hAnsi="仿宋" w:eastAsia="仿宋" w:cs="仿宋"/>
          <w:b w:val="0"/>
          <w:i w:val="0"/>
          <w:caps w:val="0"/>
          <w:color w:val="000000" w:themeColor="text1"/>
          <w:spacing w:val="0"/>
          <w:sz w:val="28"/>
          <w:szCs w:val="28"/>
          <w:highlight w:val="none"/>
          <w:shd w:val="clear" w:fill="FFFFFF"/>
          <w:lang w:eastAsia="zh-CN"/>
          <w14:textFill>
            <w14:solidFill>
              <w14:schemeClr w14:val="tx1"/>
            </w14:solidFill>
          </w14:textFill>
        </w:rPr>
        <w:t>（校发</w:t>
      </w:r>
      <w:r>
        <w:rPr>
          <w:rFonts w:hint="eastAsia" w:ascii="仿宋" w:hAnsi="仿宋" w:eastAsia="仿宋" w:cs="仿宋"/>
          <w:b w:val="0"/>
          <w:i w:val="0"/>
          <w:caps w:val="0"/>
          <w:color w:val="000000" w:themeColor="text1"/>
          <w:spacing w:val="0"/>
          <w:sz w:val="28"/>
          <w:szCs w:val="28"/>
          <w:highlight w:val="none"/>
          <w:shd w:val="clear" w:fill="FFFFFF"/>
          <w:lang w:val="en-US" w:eastAsia="zh-CN"/>
          <w14:textFill>
            <w14:solidFill>
              <w14:schemeClr w14:val="tx1"/>
            </w14:solidFill>
          </w14:textFill>
        </w:rPr>
        <w:t>[2006]16号</w:t>
      </w:r>
      <w:r>
        <w:rPr>
          <w:rFonts w:hint="eastAsia" w:ascii="仿宋" w:hAnsi="仿宋" w:eastAsia="仿宋" w:cs="仿宋"/>
          <w:b w:val="0"/>
          <w:i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 w:hAnsi="仿宋" w:eastAsia="仿宋" w:cs="仿宋"/>
          <w:b w:val="0"/>
          <w:i w:val="0"/>
          <w:caps w:val="0"/>
          <w:color w:val="000000" w:themeColor="text1"/>
          <w:spacing w:val="0"/>
          <w:sz w:val="28"/>
          <w:szCs w:val="28"/>
          <w:highlight w:val="none"/>
          <w:shd w:val="clear" w:fill="FFFFFF"/>
          <w14:textFill>
            <w14:solidFill>
              <w14:schemeClr w14:val="tx1"/>
            </w14:solidFill>
          </w14:textFill>
        </w:rPr>
        <w:t>《</w:t>
      </w:r>
      <w:r>
        <w:rPr>
          <w:rFonts w:hint="eastAsia" w:ascii="仿宋" w:hAnsi="仿宋" w:eastAsia="仿宋" w:cs="仿宋"/>
          <w:b w:val="0"/>
          <w:i w:val="0"/>
          <w:caps w:val="0"/>
          <w:color w:val="000000" w:themeColor="text1"/>
          <w:spacing w:val="0"/>
          <w:sz w:val="28"/>
          <w:szCs w:val="28"/>
          <w:highlight w:val="none"/>
          <w:shd w:val="clear" w:fill="FFFFFF"/>
          <w:lang w:eastAsia="zh-CN"/>
          <w14:textFill>
            <w14:solidFill>
              <w14:schemeClr w14:val="tx1"/>
            </w14:solidFill>
          </w14:textFill>
        </w:rPr>
        <w:t>关于进一步完善校、院两级本科教育教学督导组织的通知</w:t>
      </w:r>
      <w:r>
        <w:rPr>
          <w:rFonts w:hint="eastAsia" w:ascii="仿宋" w:hAnsi="仿宋" w:eastAsia="仿宋" w:cs="仿宋"/>
          <w:b w:val="0"/>
          <w:i w:val="0"/>
          <w:caps w:val="0"/>
          <w:color w:val="000000" w:themeColor="text1"/>
          <w:spacing w:val="0"/>
          <w:sz w:val="28"/>
          <w:szCs w:val="28"/>
          <w:highlight w:val="none"/>
          <w:shd w:val="clear" w:fill="FFFFFF"/>
          <w14:textFill>
            <w14:solidFill>
              <w14:schemeClr w14:val="tx1"/>
            </w14:solidFill>
          </w14:textFill>
        </w:rPr>
        <w:t>》</w:t>
      </w:r>
      <w:r>
        <w:rPr>
          <w:rFonts w:hint="eastAsia" w:ascii="仿宋" w:hAnsi="仿宋" w:eastAsia="仿宋" w:cs="仿宋"/>
          <w:b w:val="0"/>
          <w:i w:val="0"/>
          <w:caps w:val="0"/>
          <w:color w:val="000000" w:themeColor="text1"/>
          <w:spacing w:val="0"/>
          <w:sz w:val="28"/>
          <w:szCs w:val="28"/>
          <w:highlight w:val="none"/>
          <w:shd w:val="clear" w:fill="FFFFFF"/>
          <w:lang w:eastAsia="zh-CN"/>
          <w14:textFill>
            <w14:solidFill>
              <w14:schemeClr w14:val="tx1"/>
            </w14:solidFill>
          </w14:textFill>
        </w:rPr>
        <w:t>（校教发</w:t>
      </w:r>
      <w:r>
        <w:rPr>
          <w:rFonts w:hint="eastAsia" w:ascii="仿宋" w:hAnsi="仿宋" w:eastAsia="仿宋" w:cs="仿宋"/>
          <w:b w:val="0"/>
          <w:i w:val="0"/>
          <w:caps w:val="0"/>
          <w:color w:val="000000" w:themeColor="text1"/>
          <w:spacing w:val="0"/>
          <w:sz w:val="28"/>
          <w:szCs w:val="28"/>
          <w:highlight w:val="none"/>
          <w:shd w:val="clear" w:fill="FFFFFF"/>
          <w:lang w:val="en-US" w:eastAsia="zh-CN"/>
          <w14:textFill>
            <w14:solidFill>
              <w14:schemeClr w14:val="tx1"/>
            </w14:solidFill>
          </w14:textFill>
        </w:rPr>
        <w:t>[2006]15号</w:t>
      </w:r>
      <w:r>
        <w:rPr>
          <w:rFonts w:hint="eastAsia" w:ascii="仿宋" w:hAnsi="仿宋" w:eastAsia="仿宋" w:cs="仿宋"/>
          <w:b w:val="0"/>
          <w:i w:val="0"/>
          <w:caps w:val="0"/>
          <w:color w:val="000000" w:themeColor="text1"/>
          <w:spacing w:val="0"/>
          <w:sz w:val="28"/>
          <w:szCs w:val="28"/>
          <w:highlight w:val="none"/>
          <w:shd w:val="clear" w:fill="FFFFFF"/>
          <w:lang w:eastAsia="zh-CN"/>
          <w14:textFill>
            <w14:solidFill>
              <w14:schemeClr w14:val="tx1"/>
            </w14:solidFill>
          </w14:textFill>
        </w:rPr>
        <w:t>）和《关于建立健全学院本科教学督导组的指导意见》（校教发</w:t>
      </w:r>
      <w:r>
        <w:rPr>
          <w:rFonts w:hint="eastAsia" w:ascii="仿宋" w:hAnsi="仿宋" w:eastAsia="仿宋" w:cs="仿宋"/>
          <w:b w:val="0"/>
          <w:i w:val="0"/>
          <w:caps w:val="0"/>
          <w:color w:val="000000" w:themeColor="text1"/>
          <w:spacing w:val="0"/>
          <w:sz w:val="28"/>
          <w:szCs w:val="28"/>
          <w:highlight w:val="none"/>
          <w:shd w:val="clear" w:fill="FFFFFF"/>
          <w:lang w:val="en-US" w:eastAsia="zh-CN"/>
          <w14:textFill>
            <w14:solidFill>
              <w14:schemeClr w14:val="tx1"/>
            </w14:solidFill>
          </w14:textFill>
        </w:rPr>
        <w:t>[</w:t>
      </w:r>
      <w:r>
        <w:rPr>
          <w:rFonts w:hint="eastAsia" w:ascii="仿宋" w:hAnsi="仿宋" w:eastAsia="仿宋" w:cs="仿宋"/>
          <w:b w:val="0"/>
          <w:i w:val="0"/>
          <w:caps w:val="0"/>
          <w:color w:val="000000" w:themeColor="text1"/>
          <w:spacing w:val="0"/>
          <w:sz w:val="28"/>
          <w:szCs w:val="28"/>
          <w:highlight w:val="none"/>
          <w:shd w:val="clear" w:fill="FFFFFF"/>
          <w:lang w:eastAsia="zh-CN"/>
          <w14:textFill>
            <w14:solidFill>
              <w14:schemeClr w14:val="tx1"/>
            </w14:solidFill>
          </w14:textFill>
        </w:rPr>
        <w:t>2015</w:t>
      </w:r>
      <w:r>
        <w:rPr>
          <w:rFonts w:hint="eastAsia" w:ascii="仿宋" w:hAnsi="仿宋" w:eastAsia="仿宋" w:cs="仿宋"/>
          <w:b w:val="0"/>
          <w:i w:val="0"/>
          <w:caps w:val="0"/>
          <w:color w:val="000000" w:themeColor="text1"/>
          <w:spacing w:val="0"/>
          <w:sz w:val="28"/>
          <w:szCs w:val="28"/>
          <w:highlight w:val="none"/>
          <w:shd w:val="clear" w:fill="FFFFFF"/>
          <w:lang w:val="en-US" w:eastAsia="zh-CN"/>
          <w14:textFill>
            <w14:solidFill>
              <w14:schemeClr w14:val="tx1"/>
            </w14:solidFill>
          </w14:textFill>
        </w:rPr>
        <w:t>]</w:t>
      </w:r>
      <w:r>
        <w:rPr>
          <w:rFonts w:hint="eastAsia" w:ascii="仿宋" w:hAnsi="仿宋" w:eastAsia="仿宋" w:cs="仿宋"/>
          <w:b w:val="0"/>
          <w:i w:val="0"/>
          <w:caps w:val="0"/>
          <w:color w:val="000000" w:themeColor="text1"/>
          <w:spacing w:val="0"/>
          <w:sz w:val="28"/>
          <w:szCs w:val="28"/>
          <w:highlight w:val="none"/>
          <w:shd w:val="clear" w:fill="FFFFFF"/>
          <w:lang w:eastAsia="zh-CN"/>
          <w14:textFill>
            <w14:solidFill>
              <w14:schemeClr w14:val="tx1"/>
            </w14:solidFill>
          </w14:textFill>
        </w:rPr>
        <w:t>30号）</w:t>
      </w:r>
      <w:r>
        <w:rPr>
          <w:rFonts w:hint="eastAsia" w:ascii="仿宋" w:hAnsi="仿宋" w:eastAsia="仿宋" w:cs="仿宋"/>
          <w:b w:val="0"/>
          <w:i w:val="0"/>
          <w:caps w:val="0"/>
          <w:color w:val="000000" w:themeColor="text1"/>
          <w:spacing w:val="0"/>
          <w:sz w:val="28"/>
          <w:szCs w:val="28"/>
          <w:highlight w:val="none"/>
          <w:shd w:val="clear" w:fill="FFFFFF"/>
          <w14:textFill>
            <w14:solidFill>
              <w14:schemeClr w14:val="tx1"/>
            </w14:solidFill>
          </w14:textFill>
        </w:rPr>
        <w:t>，在教务处的指导下，</w:t>
      </w:r>
      <w:r>
        <w:rPr>
          <w:rFonts w:hint="eastAsia" w:ascii="仿宋_GB2312" w:hAnsi="宋体" w:eastAsia="仿宋_GB2312" w:cs="宋体"/>
          <w:color w:val="000000" w:themeColor="text1"/>
          <w:kern w:val="0"/>
          <w:sz w:val="28"/>
          <w:szCs w:val="28"/>
          <w:highlight w:val="none"/>
          <w14:textFill>
            <w14:solidFill>
              <w14:schemeClr w14:val="tx1"/>
            </w14:solidFill>
          </w14:textFill>
        </w:rPr>
        <w:t>特</w:t>
      </w:r>
      <w:r>
        <w:rPr>
          <w:rFonts w:hint="eastAsia" w:ascii="仿宋_GB2312" w:hAnsi="宋体" w:eastAsia="仿宋_GB2312" w:cs="宋体"/>
          <w:color w:val="000000" w:themeColor="text1"/>
          <w:kern w:val="0"/>
          <w:sz w:val="28"/>
          <w:szCs w:val="28"/>
          <w:highlight w:val="none"/>
          <w:lang w:eastAsia="zh-CN"/>
          <w14:textFill>
            <w14:solidFill>
              <w14:schemeClr w14:val="tx1"/>
            </w14:solidFill>
          </w14:textFill>
        </w:rPr>
        <w:t>成立能源与环境工程学院本科教育教学督导组。</w:t>
      </w:r>
    </w:p>
    <w:p>
      <w:pPr>
        <w:pStyle w:val="2"/>
        <w:keepNext w:val="0"/>
        <w:keepLines w:val="0"/>
        <w:widowControl/>
        <w:suppressLineNumbers w:val="0"/>
        <w:shd w:val="clear" w:fill="FFFFFF"/>
        <w:spacing w:before="0" w:beforeAutospacing="0" w:after="0" w:afterAutospacing="0" w:line="540" w:lineRule="atLeast"/>
        <w:ind w:right="0"/>
        <w:jc w:val="both"/>
        <w:rPr>
          <w:rFonts w:hint="default" w:ascii="Calibri" w:hAnsi="Calibri" w:cs="Calibri"/>
          <w:b w:val="0"/>
          <w:i w:val="0"/>
          <w:caps w:val="0"/>
          <w:color w:val="000000" w:themeColor="text1"/>
          <w:spacing w:val="0"/>
          <w:sz w:val="21"/>
          <w:szCs w:val="21"/>
          <w:highlight w:val="none"/>
          <w14:textFill>
            <w14:solidFill>
              <w14:schemeClr w14:val="tx1"/>
            </w14:solidFill>
          </w14:textFill>
        </w:rPr>
      </w:pPr>
      <w:r>
        <w:rPr>
          <w:rFonts w:hint="eastAsia" w:ascii="黑体" w:hAnsi="宋体" w:eastAsia="黑体" w:cs="黑体"/>
          <w:b w:val="0"/>
          <w:i w:val="0"/>
          <w:caps w:val="0"/>
          <w:color w:val="000000" w:themeColor="text1"/>
          <w:spacing w:val="0"/>
          <w:sz w:val="28"/>
          <w:szCs w:val="28"/>
          <w:highlight w:val="none"/>
          <w:shd w:val="clear" w:fill="FFFFFF"/>
          <w14:textFill>
            <w14:solidFill>
              <w14:schemeClr w14:val="tx1"/>
            </w14:solidFill>
          </w14:textFill>
        </w:rPr>
        <w:t>一、指导思想</w:t>
      </w:r>
    </w:p>
    <w:p>
      <w:pPr>
        <w:spacing w:before="240" w:after="240"/>
        <w:ind w:firstLine="560" w:firstLineChars="200"/>
        <w:jc w:val="both"/>
        <w:rPr>
          <w:rFonts w:hint="eastAsia" w:ascii="仿宋" w:hAnsi="仿宋" w:eastAsia="仿宋" w:cs="仿宋"/>
          <w:b w:val="0"/>
          <w:i w:val="0"/>
          <w:caps w:val="0"/>
          <w:color w:val="000000" w:themeColor="text1"/>
          <w:spacing w:val="0"/>
          <w:sz w:val="28"/>
          <w:szCs w:val="28"/>
          <w:highlight w:val="none"/>
          <w:shd w:val="clear" w:fill="FFFFFF"/>
          <w14:textFill>
            <w14:solidFill>
              <w14:schemeClr w14:val="tx1"/>
            </w14:solidFill>
          </w14:textFill>
        </w:rPr>
      </w:pPr>
      <w:r>
        <w:rPr>
          <w:rFonts w:hint="eastAsia" w:ascii="仿宋" w:hAnsi="仿宋" w:eastAsia="仿宋" w:cs="仿宋"/>
          <w:b w:val="0"/>
          <w:i w:val="0"/>
          <w:caps w:val="0"/>
          <w:color w:val="000000" w:themeColor="text1"/>
          <w:spacing w:val="0"/>
          <w:sz w:val="28"/>
          <w:szCs w:val="28"/>
          <w:highlight w:val="none"/>
          <w:shd w:val="clear" w:fill="FFFFFF"/>
          <w14:textFill>
            <w14:solidFill>
              <w14:schemeClr w14:val="tx1"/>
            </w14:solidFill>
          </w14:textFill>
        </w:rPr>
        <w:t>认真贯彻执行教学督导工作条例，结合学院内部质量保证体系诊断与改进工作，加强对教学过程管理和教学质量的动态监控，以督促导，以导促改，充分发挥学院督导工作在教学运行过程中的重要作用。通过有效的督导，促进立德树人和内涵建设，推进教学保障工程，不断提高人才培养质量。</w:t>
      </w:r>
    </w:p>
    <w:p>
      <w:pPr>
        <w:numPr>
          <w:ilvl w:val="0"/>
          <w:numId w:val="1"/>
        </w:numPr>
        <w:spacing w:before="240" w:after="240"/>
        <w:jc w:val="both"/>
        <w:rPr>
          <w:rFonts w:hint="eastAsia" w:ascii="黑体" w:hAnsi="宋体" w:eastAsia="黑体" w:cs="黑体"/>
          <w:b w:val="0"/>
          <w:i w:val="0"/>
          <w:caps w:val="0"/>
          <w:color w:val="000000" w:themeColor="text1"/>
          <w:spacing w:val="0"/>
          <w:sz w:val="28"/>
          <w:szCs w:val="28"/>
          <w:highlight w:val="none"/>
          <w:shd w:val="clear" w:fill="FFFFFF"/>
          <w:lang w:eastAsia="zh-CN"/>
          <w14:textFill>
            <w14:solidFill>
              <w14:schemeClr w14:val="tx1"/>
            </w14:solidFill>
          </w14:textFill>
        </w:rPr>
      </w:pPr>
      <w:r>
        <w:rPr>
          <w:rFonts w:hint="eastAsia" w:ascii="黑体" w:hAnsi="宋体" w:eastAsia="黑体" w:cs="黑体"/>
          <w:b w:val="0"/>
          <w:i w:val="0"/>
          <w:caps w:val="0"/>
          <w:color w:val="000000" w:themeColor="text1"/>
          <w:spacing w:val="0"/>
          <w:sz w:val="28"/>
          <w:szCs w:val="28"/>
          <w:highlight w:val="none"/>
          <w:shd w:val="clear" w:fill="FFFFFF"/>
          <w:lang w:eastAsia="zh-CN"/>
          <w14:textFill>
            <w14:solidFill>
              <w14:schemeClr w14:val="tx1"/>
            </w14:solidFill>
          </w14:textFill>
        </w:rPr>
        <w:t>任职条件</w:t>
      </w:r>
    </w:p>
    <w:p>
      <w:pPr>
        <w:ind w:firstLine="560" w:firstLineChars="20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1.热爱教育事业，工作责任心强，作风正派，办事公正。</w:t>
      </w:r>
    </w:p>
    <w:p>
      <w:pPr>
        <w:ind w:firstLine="560" w:firstLineChars="20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2.有丰富的教学和教学管理经验，有较高的教育教学理论水平和学术水平。</w:t>
      </w:r>
    </w:p>
    <w:p>
      <w:pPr>
        <w:ind w:firstLine="560" w:firstLineChars="20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3.熟悉国家教育方针政策、法规和学校关于本科生教学的政策和规定，了解高校教学改革动向，善于学习国内外先进教育理论与实践，有一定的政策水平。</w:t>
      </w:r>
    </w:p>
    <w:p>
      <w:pPr>
        <w:ind w:firstLine="560" w:firstLineChars="200"/>
        <w:rPr>
          <w:rFonts w:hint="eastAsia" w:ascii="仿宋_GB2312" w:eastAsia="仿宋_GB2312"/>
          <w:color w:val="000000" w:themeColor="text1"/>
          <w:sz w:val="28"/>
          <w:szCs w:val="28"/>
          <w:highlight w:val="none"/>
          <w:lang w:eastAsia="zh-CN"/>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4.具有副教授及以上职称，身体健康，教龄在10年（含）以上。</w:t>
      </w:r>
    </w:p>
    <w:p>
      <w:pPr>
        <w:pStyle w:val="2"/>
        <w:keepNext w:val="0"/>
        <w:keepLines w:val="0"/>
        <w:widowControl/>
        <w:suppressLineNumbers w:val="0"/>
        <w:shd w:val="clear" w:fill="FFFFFF"/>
        <w:spacing w:before="0" w:beforeAutospacing="0" w:after="0" w:afterAutospacing="0" w:line="540" w:lineRule="atLeast"/>
        <w:ind w:right="0"/>
        <w:jc w:val="both"/>
        <w:rPr>
          <w:rFonts w:hint="default" w:ascii="Calibri" w:hAnsi="Calibri" w:cs="Calibri"/>
          <w:b w:val="0"/>
          <w:i w:val="0"/>
          <w:caps w:val="0"/>
          <w:color w:val="000000" w:themeColor="text1"/>
          <w:spacing w:val="0"/>
          <w:sz w:val="21"/>
          <w:szCs w:val="21"/>
          <w:highlight w:val="none"/>
          <w14:textFill>
            <w14:solidFill>
              <w14:schemeClr w14:val="tx1"/>
            </w14:solidFill>
          </w14:textFill>
        </w:rPr>
      </w:pPr>
      <w:r>
        <w:rPr>
          <w:rFonts w:hint="eastAsia" w:ascii="黑体" w:hAnsi="宋体" w:eastAsia="黑体" w:cs="黑体"/>
          <w:b w:val="0"/>
          <w:i w:val="0"/>
          <w:caps w:val="0"/>
          <w:color w:val="000000" w:themeColor="text1"/>
          <w:spacing w:val="0"/>
          <w:sz w:val="28"/>
          <w:szCs w:val="28"/>
          <w:highlight w:val="none"/>
          <w:shd w:val="clear" w:fill="FFFFFF"/>
          <w:lang w:eastAsia="zh-CN"/>
          <w14:textFill>
            <w14:solidFill>
              <w14:schemeClr w14:val="tx1"/>
            </w14:solidFill>
          </w14:textFill>
        </w:rPr>
        <w:t>三</w:t>
      </w:r>
      <w:r>
        <w:rPr>
          <w:rFonts w:hint="eastAsia" w:ascii="黑体" w:hAnsi="宋体" w:eastAsia="黑体" w:cs="黑体"/>
          <w:b w:val="0"/>
          <w:i w:val="0"/>
          <w:caps w:val="0"/>
          <w:color w:val="000000" w:themeColor="text1"/>
          <w:spacing w:val="0"/>
          <w:sz w:val="28"/>
          <w:szCs w:val="28"/>
          <w:highlight w:val="none"/>
          <w:shd w:val="clear" w:fill="FFFFFF"/>
          <w14:textFill>
            <w14:solidFill>
              <w14:schemeClr w14:val="tx1"/>
            </w14:solidFill>
          </w14:textFill>
        </w:rPr>
        <w:t>、主要</w:t>
      </w:r>
      <w:r>
        <w:rPr>
          <w:rFonts w:hint="eastAsia" w:ascii="黑体" w:hAnsi="宋体" w:eastAsia="黑体" w:cs="黑体"/>
          <w:b w:val="0"/>
          <w:i w:val="0"/>
          <w:caps w:val="0"/>
          <w:color w:val="000000" w:themeColor="text1"/>
          <w:spacing w:val="0"/>
          <w:sz w:val="28"/>
          <w:szCs w:val="28"/>
          <w:highlight w:val="none"/>
          <w:shd w:val="clear" w:fill="FFFFFF"/>
          <w:lang w:eastAsia="zh-CN"/>
          <w14:textFill>
            <w14:solidFill>
              <w14:schemeClr w14:val="tx1"/>
            </w14:solidFill>
          </w14:textFill>
        </w:rPr>
        <w:t>职责</w:t>
      </w:r>
    </w:p>
    <w:p>
      <w:pPr>
        <w:ind w:firstLine="560" w:firstLineChars="20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院</w:t>
      </w:r>
      <w:r>
        <w:rPr>
          <w:rFonts w:hint="eastAsia" w:ascii="仿宋_GB2312" w:eastAsia="仿宋_GB2312"/>
          <w:color w:val="000000" w:themeColor="text1"/>
          <w:sz w:val="28"/>
          <w:szCs w:val="28"/>
          <w:highlight w:val="none"/>
          <w:lang w:eastAsia="zh-CN"/>
          <w14:textFill>
            <w14:solidFill>
              <w14:schemeClr w14:val="tx1"/>
            </w14:solidFill>
          </w14:textFill>
        </w:rPr>
        <w:t>教育教学</w:t>
      </w:r>
      <w:r>
        <w:rPr>
          <w:rFonts w:hint="eastAsia" w:ascii="仿宋_GB2312" w:eastAsia="仿宋_GB2312"/>
          <w:color w:val="000000" w:themeColor="text1"/>
          <w:sz w:val="28"/>
          <w:szCs w:val="28"/>
          <w:highlight w:val="none"/>
          <w14:textFill>
            <w14:solidFill>
              <w14:schemeClr w14:val="tx1"/>
            </w14:solidFill>
          </w14:textFill>
        </w:rPr>
        <w:t>督导组</w:t>
      </w:r>
      <w:r>
        <w:rPr>
          <w:rFonts w:hint="eastAsia" w:ascii="仿宋_GB2312" w:eastAsia="仿宋_GB2312"/>
          <w:color w:val="000000" w:themeColor="text1"/>
          <w:sz w:val="28"/>
          <w:szCs w:val="28"/>
          <w:highlight w:val="none"/>
          <w:lang w:eastAsia="zh-CN"/>
          <w14:textFill>
            <w14:solidFill>
              <w14:schemeClr w14:val="tx1"/>
            </w14:solidFill>
          </w14:textFill>
        </w:rPr>
        <w:t>是在学院党委和行政的领导下，坚持办学指导思想，</w:t>
      </w:r>
      <w:r>
        <w:rPr>
          <w:rFonts w:hint="eastAsia" w:ascii="仿宋_GB2312" w:eastAsia="仿宋_GB2312"/>
          <w:color w:val="000000" w:themeColor="text1"/>
          <w:sz w:val="28"/>
          <w:szCs w:val="28"/>
          <w:highlight w:val="none"/>
          <w14:textFill>
            <w14:solidFill>
              <w14:schemeClr w14:val="tx1"/>
            </w14:solidFill>
          </w14:textFill>
        </w:rPr>
        <w:t>对学院本科教育教学过程的各环节进行质量检查和评价</w:t>
      </w:r>
      <w:r>
        <w:rPr>
          <w:rFonts w:hint="eastAsia" w:ascii="仿宋_GB2312" w:eastAsia="仿宋_GB2312"/>
          <w:color w:val="000000" w:themeColor="text1"/>
          <w:sz w:val="28"/>
          <w:szCs w:val="28"/>
          <w:highlight w:val="none"/>
          <w:lang w:eastAsia="zh-CN"/>
          <w14:textFill>
            <w14:solidFill>
              <w14:schemeClr w14:val="tx1"/>
            </w14:solidFill>
          </w14:textFill>
        </w:rPr>
        <w:t>，并及时反馈</w:t>
      </w:r>
      <w:r>
        <w:rPr>
          <w:rFonts w:hint="eastAsia"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lang w:eastAsia="zh-CN"/>
          <w14:textFill>
            <w14:solidFill>
              <w14:schemeClr w14:val="tx1"/>
            </w14:solidFill>
          </w14:textFill>
        </w:rPr>
        <w:t>促进学院教育教学质量的提高</w:t>
      </w:r>
      <w:r>
        <w:rPr>
          <w:rFonts w:hint="eastAsia" w:ascii="仿宋_GB2312" w:eastAsia="仿宋_GB2312"/>
          <w:color w:val="000000" w:themeColor="text1"/>
          <w:sz w:val="28"/>
          <w:szCs w:val="28"/>
          <w:highlight w:val="none"/>
          <w14:textFill>
            <w14:solidFill>
              <w14:schemeClr w14:val="tx1"/>
            </w14:solidFill>
          </w14:textFill>
        </w:rPr>
        <w:t>。具体包括以下内容：</w:t>
      </w:r>
    </w:p>
    <w:p>
      <w:pPr>
        <w:ind w:firstLine="560" w:firstLineChars="200"/>
        <w:rPr>
          <w:rFonts w:hint="eastAsia"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lang w:val="en-US" w:eastAsia="zh-CN"/>
          <w14:textFill>
            <w14:solidFill>
              <w14:schemeClr w14:val="tx1"/>
            </w14:solidFill>
          </w14:textFill>
        </w:rPr>
        <w:t>1.加强学习研讨，提高督导工作能力和水平。督导组成员应具有大局意识和责任意识，定期组织开展学习研讨活动，掌握现代教育思想和理念，树立符合学院办学定位要求的高等教育教学质量观，熟悉学校和学院有关教学管理的规章制度，不断提高督导工作能力和水平。</w:t>
      </w:r>
    </w:p>
    <w:p>
      <w:pPr>
        <w:ind w:firstLine="560" w:firstLineChars="200"/>
        <w:rPr>
          <w:rFonts w:hint="eastAsia"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lang w:val="en-US" w:eastAsia="zh-CN"/>
          <w14:textFill>
            <w14:solidFill>
              <w14:schemeClr w14:val="tx1"/>
            </w14:solidFill>
          </w14:textFill>
        </w:rPr>
        <w:t>2.开展听课评课，对理论教学和实践教学质量进行督导。有针对性地开展听课评课活动，</w:t>
      </w:r>
      <w:r>
        <w:rPr>
          <w:rFonts w:hint="eastAsia" w:ascii="仿宋" w:hAnsi="仿宋" w:eastAsia="仿宋" w:cs="仿宋"/>
          <w:b w:val="0"/>
          <w:i w:val="0"/>
          <w:caps w:val="0"/>
          <w:color w:val="000000" w:themeColor="text1"/>
          <w:spacing w:val="0"/>
          <w:sz w:val="28"/>
          <w:szCs w:val="28"/>
          <w:highlight w:val="none"/>
          <w:shd w:val="clear" w:fill="FFFFFF"/>
          <w14:textFill>
            <w14:solidFill>
              <w14:schemeClr w14:val="tx1"/>
            </w14:solidFill>
          </w14:textFill>
        </w:rPr>
        <w:t>根据</w:t>
      </w:r>
      <w:r>
        <w:rPr>
          <w:rFonts w:hint="eastAsia" w:ascii="仿宋" w:hAnsi="仿宋" w:eastAsia="仿宋" w:cs="仿宋"/>
          <w:b w:val="0"/>
          <w:i w:val="0"/>
          <w:caps w:val="0"/>
          <w:color w:val="000000" w:themeColor="text1"/>
          <w:spacing w:val="0"/>
          <w:sz w:val="28"/>
          <w:szCs w:val="28"/>
          <w:highlight w:val="none"/>
          <w:shd w:val="clear" w:fill="FFFFFF"/>
          <w:lang w:eastAsia="zh-CN"/>
          <w14:textFill>
            <w14:solidFill>
              <w14:schemeClr w14:val="tx1"/>
            </w14:solidFill>
          </w14:textFill>
        </w:rPr>
        <w:t>学院</w:t>
      </w:r>
      <w:r>
        <w:rPr>
          <w:rFonts w:hint="eastAsia" w:ascii="仿宋" w:hAnsi="仿宋" w:eastAsia="仿宋" w:cs="仿宋"/>
          <w:b w:val="0"/>
          <w:i w:val="0"/>
          <w:caps w:val="0"/>
          <w:color w:val="000000" w:themeColor="text1"/>
          <w:spacing w:val="0"/>
          <w:sz w:val="28"/>
          <w:szCs w:val="28"/>
          <w:highlight w:val="none"/>
          <w:shd w:val="clear" w:fill="FFFFFF"/>
          <w14:textFill>
            <w14:solidFill>
              <w14:schemeClr w14:val="tx1"/>
            </w14:solidFill>
          </w14:textFill>
        </w:rPr>
        <w:t>实际情况制定听课计划，听课计划做到有点有面，</w:t>
      </w:r>
      <w:r>
        <w:rPr>
          <w:rFonts w:hint="eastAsia" w:ascii="仿宋_GB2312" w:eastAsia="仿宋_GB2312"/>
          <w:color w:val="000000" w:themeColor="text1"/>
          <w:sz w:val="28"/>
          <w:szCs w:val="28"/>
          <w:highlight w:val="none"/>
          <w:lang w:val="en-US" w:eastAsia="zh-CN"/>
          <w14:textFill>
            <w14:solidFill>
              <w14:schemeClr w14:val="tx1"/>
            </w14:solidFill>
          </w14:textFill>
        </w:rPr>
        <w:t>每学期听课不少于20节（次）</w:t>
      </w:r>
      <w:r>
        <w:rPr>
          <w:rFonts w:hint="eastAsia" w:ascii="仿宋" w:hAnsi="仿宋" w:eastAsia="仿宋" w:cs="仿宋"/>
          <w:b w:val="0"/>
          <w:i w:val="0"/>
          <w:caps w:val="0"/>
          <w:color w:val="000000" w:themeColor="text1"/>
          <w:spacing w:val="0"/>
          <w:sz w:val="28"/>
          <w:szCs w:val="28"/>
          <w:highlight w:val="none"/>
          <w:shd w:val="clear" w:fill="FFFFFF"/>
          <w14:textFill>
            <w14:solidFill>
              <w14:schemeClr w14:val="tx1"/>
            </w14:solidFill>
          </w14:textFill>
        </w:rPr>
        <w:t>。</w:t>
      </w:r>
      <w:r>
        <w:rPr>
          <w:rFonts w:hint="eastAsia" w:ascii="仿宋_GB2312" w:eastAsia="仿宋_GB2312"/>
          <w:color w:val="000000" w:themeColor="text1"/>
          <w:sz w:val="28"/>
          <w:szCs w:val="28"/>
          <w:highlight w:val="none"/>
          <w:lang w:val="en-US" w:eastAsia="zh-CN"/>
          <w14:textFill>
            <w14:solidFill>
              <w14:schemeClr w14:val="tx1"/>
            </w14:solidFill>
          </w14:textFill>
        </w:rPr>
        <w:t>按照教学过程规范，了解教师教学实施情况，客观评价教师教学水平、课堂教学质量与效果、学生学习状态等，</w:t>
      </w:r>
      <w:r>
        <w:rPr>
          <w:rFonts w:hint="eastAsia" w:ascii="仿宋" w:hAnsi="仿宋" w:eastAsia="仿宋" w:cs="仿宋"/>
          <w:b w:val="0"/>
          <w:i w:val="0"/>
          <w:caps w:val="0"/>
          <w:color w:val="000000" w:themeColor="text1"/>
          <w:spacing w:val="0"/>
          <w:sz w:val="28"/>
          <w:szCs w:val="28"/>
          <w:highlight w:val="none"/>
          <w:shd w:val="clear" w:fill="FFFFFF"/>
          <w14:textFill>
            <w14:solidFill>
              <w14:schemeClr w14:val="tx1"/>
            </w14:solidFill>
          </w14:textFill>
        </w:rPr>
        <w:t>及时与授课教师交换意见，注重发挥“导”的作用</w:t>
      </w:r>
      <w:r>
        <w:rPr>
          <w:rFonts w:hint="eastAsia" w:ascii="仿宋" w:hAnsi="仿宋" w:eastAsia="仿宋" w:cs="仿宋"/>
          <w:b w:val="0"/>
          <w:i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 w:hAnsi="仿宋" w:eastAsia="仿宋" w:cs="仿宋"/>
          <w:b w:val="0"/>
          <w:i w:val="0"/>
          <w:caps w:val="0"/>
          <w:color w:val="000000" w:themeColor="text1"/>
          <w:spacing w:val="0"/>
          <w:sz w:val="28"/>
          <w:szCs w:val="28"/>
          <w:highlight w:val="none"/>
          <w:shd w:val="clear" w:fill="FFFFFF"/>
          <w14:textFill>
            <w14:solidFill>
              <w14:schemeClr w14:val="tx1"/>
            </w14:solidFill>
          </w14:textFill>
        </w:rPr>
        <w:t>对教学工作状态和教学效果做出客观评价，并做好相关记录，</w:t>
      </w:r>
      <w:r>
        <w:rPr>
          <w:rFonts w:hint="eastAsia" w:ascii="仿宋_GB2312" w:eastAsia="仿宋_GB2312"/>
          <w:color w:val="000000" w:themeColor="text1"/>
          <w:sz w:val="28"/>
          <w:szCs w:val="28"/>
          <w:highlight w:val="none"/>
          <w:lang w:val="en-US" w:eastAsia="zh-CN"/>
          <w14:textFill>
            <w14:solidFill>
              <w14:schemeClr w14:val="tx1"/>
            </w14:solidFill>
          </w14:textFill>
        </w:rPr>
        <w:t>形成教风学风方面的书面意见并及时反馈，其评价结果作为学院教学考核的重要参考依据。</w:t>
      </w:r>
    </w:p>
    <w:p>
      <w:pPr>
        <w:ind w:firstLine="560" w:firstLineChars="200"/>
        <w:rPr>
          <w:rFonts w:hint="eastAsia"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lang w:val="en-US" w:eastAsia="zh-CN"/>
          <w14:textFill>
            <w14:solidFill>
              <w14:schemeClr w14:val="tx1"/>
            </w14:solidFill>
          </w14:textFill>
        </w:rPr>
        <w:t>3.开展教学检查，加强各教学环节规范与质量监控。积极参加学校组织的常规教学检查和专项教学评估活动，定期开展试卷、毕业设计（论文）、实践教学等存档资料的专项检查工作，对发现的问题形成书面意见并及时反馈学院。</w:t>
      </w:r>
    </w:p>
    <w:p>
      <w:pPr>
        <w:ind w:firstLine="560" w:firstLineChars="200"/>
        <w:rPr>
          <w:rFonts w:hint="eastAsia"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lang w:val="en-US" w:eastAsia="zh-CN"/>
          <w14:textFill>
            <w14:solidFill>
              <w14:schemeClr w14:val="tx1"/>
            </w14:solidFill>
          </w14:textFill>
        </w:rPr>
        <w:t>4.督导教学管理，提升教学管理工作的质量和水平。一是对学院的教学管理工作规范与执行情况进行督导；二是通过专题研究、问卷调查、师生座谈等多种形式，多渠道听取并收集师生员工对学院教学和教学管理工作的意见和建议，结合日常教学督导工作中收集的各种教学信息，深入分析教学和教学管理中存在的问题，提出改进意见、建议和措施等，形成调查报告，服务学院决策。</w:t>
      </w:r>
    </w:p>
    <w:p>
      <w:pPr>
        <w:ind w:firstLine="560" w:firstLineChars="200"/>
        <w:rPr>
          <w:rFonts w:hint="eastAsia"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lang w:val="en-US" w:eastAsia="zh-CN"/>
          <w14:textFill>
            <w14:solidFill>
              <w14:schemeClr w14:val="tx1"/>
            </w14:solidFill>
          </w14:textFill>
        </w:rPr>
        <w:t>5.参与考核评价，保证各类教学考评工作客观公正。作为专家，参加青年教师教学基本功大赛、教师资格准入试讲、青年教学骨干人才评审、本科毕业设计（论文）校级答辩评审和新教师课堂教学准入资格审核等方面的教学考核工作。</w:t>
      </w:r>
    </w:p>
    <w:p>
      <w:pPr>
        <w:pStyle w:val="5"/>
        <w:ind w:firstLine="56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eastAsia="zh-CN"/>
          <w14:textFill>
            <w14:solidFill>
              <w14:schemeClr w14:val="tx1"/>
            </w14:solidFill>
          </w14:textFill>
        </w:rPr>
        <w:t>6.</w:t>
      </w:r>
      <w:r>
        <w:rPr>
          <w:rFonts w:hint="eastAsia" w:ascii="仿宋_GB2312" w:eastAsia="仿宋_GB2312"/>
          <w:color w:val="000000" w:themeColor="text1"/>
          <w:sz w:val="28"/>
          <w:szCs w:val="28"/>
          <w:highlight w:val="none"/>
          <w14:textFill>
            <w14:solidFill>
              <w14:schemeClr w14:val="tx1"/>
            </w14:solidFill>
          </w14:textFill>
        </w:rPr>
        <w:t>完成学院领导交办的其他工作任务。配合学校督导组做好学校对学院的各项教学检查评估和专项教学督导工作</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接受或提供教务处等学校职能部门委托的专项调研或咨询工作。</w:t>
      </w:r>
    </w:p>
    <w:p>
      <w:pPr>
        <w:ind w:firstLine="560" w:firstLineChars="200"/>
        <w:rPr>
          <w:rFonts w:hint="eastAsia" w:ascii="仿宋_GB2312" w:eastAsia="仿宋_GB2312"/>
          <w:color w:val="000000" w:themeColor="text1"/>
          <w:sz w:val="28"/>
          <w:szCs w:val="28"/>
          <w:highlight w:val="none"/>
          <w14:textFill>
            <w14:solidFill>
              <w14:schemeClr w14:val="tx1"/>
            </w14:solidFill>
          </w14:textFill>
        </w:rPr>
      </w:pPr>
    </w:p>
    <w:p>
      <w:pPr>
        <w:ind w:firstLine="560" w:firstLineChars="200"/>
        <w:rPr>
          <w:rFonts w:hint="eastAsia" w:ascii="仿宋_GB2312" w:eastAsia="仿宋_GB2312"/>
          <w:color w:val="000000" w:themeColor="text1"/>
          <w:sz w:val="28"/>
          <w:szCs w:val="28"/>
          <w:highlight w:val="none"/>
          <w14:textFill>
            <w14:solidFill>
              <w14:schemeClr w14:val="tx1"/>
            </w14:solidFill>
          </w14:textFill>
        </w:rPr>
      </w:pPr>
    </w:p>
    <w:p>
      <w:pPr>
        <w:ind w:firstLine="560" w:firstLineChars="200"/>
        <w:jc w:val="right"/>
        <w:rPr>
          <w:rFonts w:hint="eastAsia" w:ascii="仿宋_GB2312" w:eastAsia="仿宋_GB2312"/>
          <w:color w:val="000000" w:themeColor="text1"/>
          <w:sz w:val="28"/>
          <w:szCs w:val="28"/>
          <w:highlight w:val="none"/>
          <w:lang w:eastAsia="zh-CN"/>
          <w14:textFill>
            <w14:solidFill>
              <w14:schemeClr w14:val="tx1"/>
            </w14:solidFill>
          </w14:textFill>
        </w:rPr>
      </w:pPr>
      <w:r>
        <w:rPr>
          <w:rFonts w:hint="eastAsia" w:ascii="仿宋_GB2312" w:eastAsia="仿宋_GB2312"/>
          <w:color w:val="000000" w:themeColor="text1"/>
          <w:sz w:val="28"/>
          <w:szCs w:val="28"/>
          <w:highlight w:val="none"/>
          <w:lang w:eastAsia="zh-CN"/>
          <w14:textFill>
            <w14:solidFill>
              <w14:schemeClr w14:val="tx1"/>
            </w14:solidFill>
          </w14:textFill>
        </w:rPr>
        <w:t>能源与环境工程学院</w:t>
      </w:r>
    </w:p>
    <w:p>
      <w:pPr>
        <w:pStyle w:val="5"/>
        <w:widowControl/>
        <w:spacing w:line="480" w:lineRule="exact"/>
        <w:ind w:firstLineChars="150"/>
        <w:jc w:val="right"/>
        <w:rPr>
          <w:rFonts w:ascii="宋体" w:hAnsi="宋体" w:eastAsia="宋体"/>
          <w:sz w:val="28"/>
          <w:szCs w:val="28"/>
        </w:rPr>
      </w:pPr>
      <w:r>
        <w:rPr>
          <w:rFonts w:hint="eastAsia" w:ascii="仿宋" w:hAnsi="仿宋" w:eastAsia="仿宋"/>
          <w:sz w:val="28"/>
          <w:szCs w:val="28"/>
        </w:rPr>
        <w:t>二〇一</w:t>
      </w:r>
      <w:r>
        <w:rPr>
          <w:rFonts w:hint="eastAsia" w:ascii="仿宋" w:hAnsi="仿宋" w:eastAsia="仿宋"/>
          <w:sz w:val="28"/>
          <w:szCs w:val="28"/>
          <w:lang w:eastAsia="zh-CN"/>
        </w:rPr>
        <w:t>六</w:t>
      </w:r>
      <w:r>
        <w:rPr>
          <w:rFonts w:hint="eastAsia" w:ascii="仿宋" w:hAnsi="仿宋" w:eastAsia="仿宋"/>
          <w:sz w:val="28"/>
          <w:szCs w:val="28"/>
        </w:rPr>
        <w:t>年十</w:t>
      </w:r>
      <w:r>
        <w:rPr>
          <w:rFonts w:hint="eastAsia" w:ascii="仿宋" w:hAnsi="仿宋" w:eastAsia="仿宋"/>
          <w:sz w:val="28"/>
          <w:szCs w:val="28"/>
          <w:lang w:eastAsia="zh-CN"/>
        </w:rPr>
        <w:t>二</w:t>
      </w:r>
      <w:r>
        <w:rPr>
          <w:rFonts w:hint="eastAsia" w:ascii="仿宋" w:hAnsi="仿宋" w:eastAsia="仿宋"/>
          <w:sz w:val="28"/>
          <w:szCs w:val="28"/>
        </w:rPr>
        <w:t>月二十</w:t>
      </w:r>
      <w:r>
        <w:rPr>
          <w:rFonts w:hint="eastAsia" w:ascii="仿宋" w:hAnsi="仿宋" w:eastAsia="仿宋"/>
          <w:sz w:val="28"/>
          <w:szCs w:val="28"/>
          <w:lang w:eastAsia="zh-CN"/>
        </w:rPr>
        <w:t>二</w:t>
      </w:r>
      <w:bookmarkStart w:id="0" w:name="_GoBack"/>
      <w:bookmarkEnd w:id="0"/>
      <w:r>
        <w:rPr>
          <w:rFonts w:hint="eastAsia" w:ascii="仿宋" w:hAnsi="仿宋" w:eastAsia="仿宋"/>
          <w:sz w:val="28"/>
          <w:szCs w:val="28"/>
        </w:rPr>
        <w:t>日</w:t>
      </w:r>
    </w:p>
    <w:p>
      <w:pPr>
        <w:keepNext w:val="0"/>
        <w:keepLines w:val="0"/>
        <w:widowControl/>
        <w:suppressLineNumbers w:val="0"/>
        <w:ind w:left="0" w:firstLine="0"/>
        <w:jc w:val="left"/>
        <w:rPr>
          <w:rFonts w:hint="eastAsia" w:ascii="宋体" w:hAnsi="宋体" w:eastAsia="宋体" w:cs="宋体"/>
          <w:caps w:val="0"/>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b/>
          <w:caps w:val="0"/>
          <w:color w:val="000000" w:themeColor="text1"/>
          <w:spacing w:val="0"/>
          <w:kern w:val="0"/>
          <w:sz w:val="28"/>
          <w:szCs w:val="28"/>
          <w:highlight w:val="none"/>
          <w:lang w:val="en-US" w:eastAsia="zh-CN" w:bidi="ar"/>
          <w14:textFill>
            <w14:solidFill>
              <w14:schemeClr w14:val="tx1"/>
            </w14:solidFill>
          </w14:textFill>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0C166"/>
    <w:multiLevelType w:val="singleLevel"/>
    <w:tmpl w:val="5A40C16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15275"/>
    <w:rsid w:val="020F50ED"/>
    <w:rsid w:val="02F93C60"/>
    <w:rsid w:val="0865017C"/>
    <w:rsid w:val="10F05E4A"/>
    <w:rsid w:val="117E3739"/>
    <w:rsid w:val="12E02FE8"/>
    <w:rsid w:val="1343466F"/>
    <w:rsid w:val="14544660"/>
    <w:rsid w:val="15E27A55"/>
    <w:rsid w:val="1A523128"/>
    <w:rsid w:val="1BF100B1"/>
    <w:rsid w:val="21564672"/>
    <w:rsid w:val="22417A36"/>
    <w:rsid w:val="2D6C0D7F"/>
    <w:rsid w:val="2F2B5779"/>
    <w:rsid w:val="3BFF5F86"/>
    <w:rsid w:val="3C7A6504"/>
    <w:rsid w:val="3E6D3D21"/>
    <w:rsid w:val="43FA4E58"/>
    <w:rsid w:val="484B2A5D"/>
    <w:rsid w:val="4BC969C7"/>
    <w:rsid w:val="5C1B7F90"/>
    <w:rsid w:val="5F915C63"/>
    <w:rsid w:val="61291986"/>
    <w:rsid w:val="6CEC642B"/>
    <w:rsid w:val="736951D2"/>
    <w:rsid w:val="75240515"/>
    <w:rsid w:val="75571E22"/>
    <w:rsid w:val="761274E4"/>
    <w:rsid w:val="776C4291"/>
    <w:rsid w:val="77C05EFC"/>
    <w:rsid w:val="791978DF"/>
    <w:rsid w:val="7A957BAE"/>
    <w:rsid w:val="7F8860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wangjingjing</cp:lastModifiedBy>
  <dcterms:modified xsi:type="dcterms:W3CDTF">2018-03-29T03:24:36Z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