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vanish/>
          <w:sz w:val="28"/>
          <w:szCs w:val="28"/>
        </w:rPr>
      </w:pPr>
    </w:p>
    <w:p>
      <w:pPr>
        <w:widowControl/>
        <w:spacing w:afterLines="50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北京科技大学能源与环境工程学院</w:t>
      </w:r>
    </w:p>
    <w:p>
      <w:pPr>
        <w:spacing w:line="46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能发〔201</w:t>
      </w: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hint="eastAsia" w:ascii="仿宋_GB2312" w:hAnsi="宋体" w:eastAsia="仿宋_GB2312"/>
          <w:sz w:val="28"/>
          <w:lang w:val="en-US" w:eastAsia="zh-CN"/>
        </w:rPr>
        <w:t>26</w:t>
      </w:r>
      <w:r>
        <w:rPr>
          <w:rFonts w:hint="eastAsia" w:ascii="仿宋_GB2312" w:hAnsi="宋体" w:eastAsia="仿宋_GB2312"/>
          <w:sz w:val="28"/>
        </w:rPr>
        <w:t>号</w:t>
      </w:r>
      <w:bookmarkStart w:id="0" w:name="_GoBack"/>
      <w:bookmarkEnd w:id="0"/>
    </w:p>
    <w:p>
      <w:pPr>
        <w:pStyle w:val="2"/>
        <w:snapToGrid w:val="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75pt;margin-top:4.2pt;height:0pt;width:417.75pt;z-index:251660288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EsKTSAAAABgEAAA8AAAAAAAAAAQAg&#10;AAAAIgAAAGRycy9kb3ducmV2LnhtbFBLAQIUABQAAAAIAIdO4kAdCT4X2wEAAHwDAAAOAAAAAAAA&#10;AAEAIAAAACEBAABkcnMvZTJvRG9jLnhtbFBLBQYAAAAABgAGAFkBAABu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75pt;margin-top:4.2pt;height:0pt;width:417.75pt;z-index:251658240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EsKTSAAAABgEAAA8AAAAAAAAAAQAgAAAAIgAAAGRycy9kb3ducmV2LnhtbFBLAQIU&#10;ABQAAAAIAIdO4kANdR3jwAEAAHEDAAAOAAAAAAAAAAEAIAAAACEBAABkcnMvZTJvRG9jLnhtbFBL&#10;BQYAAAAABgAGAFkBAABT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32"/>
        </w:rPr>
        <w:t>能源与</w:t>
      </w:r>
      <w:r>
        <w:rPr>
          <w:rFonts w:ascii="华文中宋" w:hAnsi="华文中宋" w:eastAsia="华文中宋"/>
          <w:b/>
          <w:sz w:val="32"/>
          <w:szCs w:val="32"/>
        </w:rPr>
        <w:t>环境工程学院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本科教学质量监控体系建设规范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本科教学质量关系到高等教育的整体质量，与国家创新体系和创新能力建设紧密相关，对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未来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整体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发展具有重要的战略地位。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为了进一步加强教学质量监控，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规范和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完善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能源与环境工程学院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教学质量监控体系，提高教育教学质量，培养合格人才，特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制定本规范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一、教学质量监控目标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根据学院定位与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人才培养目标，确定教学质量监控目标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如下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1.通过教学质量监控，强化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本科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教学中心地位，不断提高教学质量，实现“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highlight w:val="none"/>
        </w:rPr>
        <w:t>培养基础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扎实、实践能力强、具有创新创业意识和国际视野的高素质创新人才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”的人才培养目标。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2.通过教学质量监控，发现偏离于计划目标的误差，并采取有效措施纠正发生的偏差，从而确保教学任务与教学目标的实现。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3.通过教学质量监控，促进教学管理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的规范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化和科学化，形成严谨求实的良好教风和学风。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4.在教学质量监控过程中坚持以人为本，充分重视人的作用、人的价值、人的要求和个性发展，促进人的全面发展。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5.教学质量监控要充分体现现代教育思想和观念，紧紧围绕深化教学改革、提高教育教学质量、培养合格人才的目标，全面推进教育创新，实现高等教育的可持续发展。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二、教学质量监控体系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教学质量监控体系由学院教学委员会、学院教学督导组、系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教学质量监控工作小组组成。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1.学院教学委员会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学院教学委员会由学院党政一把手、主管教学工作副院长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各系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负责人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、教学督导组专家、教师代表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组成，负责教学质量监控体系的建立、有关制度的制订、教学质量监控的领导、教学质量监控工作的布置和检查等工作。教学委员会定期召开工作会议，讨论教学质量监控问题，协调学院各部门关系，统一调配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内各种资源为教学服务，确保各项监控措施的贯彻落实。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2.学院教学督导组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学院教学督导组由教学经验丰富的专家组成，对全院教学工作进行监督、检查评价和指导，重点对教师课堂教学的全过程进行督导。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教学质量监控工作组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各教学系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学校和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学院的有关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文件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，成立教学质量监控工作组，制订教学质量监控的有关规定，把教学质量监控工作落到实处。教学质量监控工作组由系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党政一把手、教师代表组成。系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教学质量监控工作组要聘请思想政治素质好、学习成绩优秀、责任心强的学生担任教学质量监督员（信息员），定期召开监督员（信息员）会议，随时了解教学质量的情况。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三、教学质量信息的收集整理与分析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通过以下制度，收集、整理、分析教学质量的有关信息，实施教学质量监控。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1.教学委员会例会制度。每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召开一次教学工作委员会例会，重点收集教学质量的相关信息，研究、解决教学质量问题，并安排日常教学工作。每次会议都应有议题、有方案、有结论，真正把教学质量监控工作落到实处。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教学检查制度。每学期开学初、期中和期末开展三次教学检查，开学初检查的内容主要是教学准备情况，期中教学检查的内容主要是教学运行情况，期末教学检查的内容以期末考试情况为主。检查要有记录、有总结，发现问题及时纠正。同时，根据教学工作的需要，不定期地进行教学工作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专项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检查（如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毕业设计质量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检查等）。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.教师课堂教学质量评价及教学质量档案制度。教师课堂教学质量评价及教学质量档案主要由三部分组成：⑴每学期期末，由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教务处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组织学生，对本学期任课教师的课堂教学质量进行评价；⑵每学期开始，由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统一安排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院、系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领导听课，填写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干部听课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表；⑶每学期开始，由督导组统一安排督导（专家）听课，填写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专家听课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表。评价结果作为申请青年骨干教师、评选先进等工作的重要依据。课堂教学评价不合格者由学院组织专家听课，分析问题所在，给出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改进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意见，整改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合格再给予排课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.教学督导制度。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根据《关于建立健全学院本科教学督导组的指导意见》、《北京科技大学本科教育教学督导组工作管理办法》和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《能源与环境工程学院本科教育教学督导组工作细则》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成立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由教学经验丰富的专家组成教学督导组，对全院教学工作进行监督、检查评价和指导，重点对教师课堂教学的全过程进行督导。教学督导员不定期到课堂听课，了解教师教学情况和学生学习情况，为教师改进教学提供指导性建议，参与考试巡视和毕业论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、试卷存档、实习报告等资料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审查，并为教学质量的提高提供咨询。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.干部听课制度。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根据《北京科技大学干部听课查课制度》，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学院及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系所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领导要深入教学第一线开展调查研究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，广泛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听课，了解教师的教学情况和学生的学习情况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发现问题并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及时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加以解决。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.试卷管理及学生成绩统计分析制度。根据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highlight w:val="none"/>
        </w:rPr>
        <w:t>《关于做好本科考试工作的若干规定》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《能源与环境工程学院本科生考试及材料归档工作细则》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，明确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试卷制作的要求、程序、以及改卷、试卷分析、试卷存放等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具体规范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，并严格执行。主讲教师对考试科目的学生成绩进行认真分析，找出存在问题，提出整改意见；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每学期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末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对全院考试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情况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进行统计分析，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向全院教师通报并上报教务处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.实习及用人单位信息收集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制度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⑴实习质量信息的收集。每年实习期间，由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各专业实习带队教师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安排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实习的检查工作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认真听取实习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本专业学生实习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情况的意见和对学院教学工作的建议，汇总后交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院教学委员会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；实习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返校后，各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召开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本科生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实习座谈会，认真听取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学生们对实习工作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的意见和建议，汇总后交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院教学委员会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；学院每年召开一次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实习带队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教师和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负责人会议，听取他们对学院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实习实践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教学工作的意见和建议。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⑵毕业生质量信息的收集。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根据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《能源与环境工程学院本科毕业生跟踪调查反馈及持续改进制度》，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每年招生、毕业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季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期间，由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系所和学院就业专职教师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向各用人单位了解我院毕业生工作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发展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情况，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结合麦可思《北京科技大学应届毕业生培养质量评价报告》，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汇总后交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院教学委员会分析讨论。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学院、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系所要利用各种途径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开展经常性的毕业生情况调查，及时了解毕业生的工作情况。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  <w:t>四</w:t>
      </w: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、教学质量信息的反馈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收集到的有关教学质量的信息，经过整理分析后，及时向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反馈。反馈的范围及形式根据信息涉及的范围确定。应当反馈的信息主要有：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1.督导组采集的信息：采取个别交流、书面评价等方式反馈对教师课堂教学的意见或建议；针对普遍存在的问题发布专题报告；每学期对教学质量状况进行总结。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2.开学初、期中和期末三次教学检查的信息：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根据各系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填写的相关表格进行统计分析，以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总结通报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教学主任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会通报的形式进行反馈。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干部听查课采集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信息：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干部听课采集的信息应和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督导组的评价、学生的评价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一起，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及时向教师个人反馈。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.学生信息员收集到的信息：以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座谈会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或个别交流的形式反馈。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.实习、毕业生信息：以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调查表统计分析报告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或会议通报的形式反馈。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  <w:t>.其他有关教学质量的信息，根据实际情况确定反馈对象与范围。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  <w:t>五</w:t>
      </w: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、根据教学信息对教学工作的调控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学院、系所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对反馈的信息进行分析对比，对于合理可行的信息，要据此对教学工作进行调控。涉及到人才培养模式的，由学院对人才培养目标、人才培养总体方案进行调整修订，各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系所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人才培养方案进行修订；涉及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教学环节的，由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系所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提出整改意见并实施；涉及教师教学工作的，由教师对教学内容、教学方法、教学手段等方面进行改革或改进。</w:t>
      </w:r>
    </w:p>
    <w:tbl>
      <w:tblPr>
        <w:tblStyle w:val="6"/>
        <w:tblpPr w:leftFromText="180" w:rightFromText="180" w:vertAnchor="text" w:horzAnchor="page" w:tblpX="1798" w:tblpY="77"/>
        <w:tblOverlap w:val="never"/>
        <w:tblW w:w="823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969"/>
        <w:gridCol w:w="996"/>
        <w:gridCol w:w="1176"/>
        <w:gridCol w:w="1860"/>
        <w:gridCol w:w="12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考核环节</w:t>
            </w:r>
          </w:p>
        </w:tc>
        <w:tc>
          <w:tcPr>
            <w:tcW w:w="1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质量要点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质量考核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考核依据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考核周期、结果与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相应的改进措施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形成的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 w:bidi="ar"/>
              </w:rPr>
              <w:t>记录文档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培养方案制定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培养目标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与定位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符合学校办学目标与定位，反映社会需求；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培养目标针对性强，表述清晰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，有阶段目标和措施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能力要求覆盖通用标准，体现专业特色，并与培养目标匹配；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课程设置符合通用标准，符合学校规定，体现专业特色；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培养方案体现对学生综合素质和实践能力的培养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instrText xml:space="preserve"> HYPERLINK "http://jwc.seu.edu.cn/" \t "http://automation.seu.edu.cn/_blank" </w:instrTex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教务处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、学院教学委员会、教学副院长、专业负责人、校外同行、企业专家、教师代表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《北京科技大学关于制订2017版本科培养方案的原则意见》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考核周期：每5年大修订一版、每年微调一次；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考核结果：合格/需要调整；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改进措施：如培养目标需要调整，根据教师、学生、用人单位等的反馈，充分研讨，不断凝练培养目标；如能力要求需要调整，则在充分听取各方意见的基础上，充分研讨，进行调整；如课程设置等方面不符合要求，则相应调整。培养方案的修订需按规定程序执行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北京科技大学能源与动力工程专业2017版培养方案；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北京科技大学环境工程专业2017版培养方案； 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北京科技大学2017版本科培养计划验收报告。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课程建设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课程负责人具有高级职称、教学经验丰富，有较好的组织、管理和领导能力；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基础课、专业主干课设立课程组；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原则上每个课程组不少于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，涵盖老、中、青不同年龄段教师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承担一定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的课程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教改任务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和教材建设任务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学院教学委员会、教学副院长、督导组、系教学副主任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课程大纲、教学日历、试卷情况、课程网站、学生评教、督导听课表、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课程建设（三年）规划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考核周期：每学年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考核结果：对于课程组教学质量、教学方法、教改工作、教材选用等进行评价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改进措施：根据考核结果进行相应改进，确保教学质量不断提升，对于教学存在困难的教师请专人进行辅导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学生评教结果、听课表等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课程教学大纲编制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课程代码、名称等各项信息完整，符合学校规范要求；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课程教学内容和方法能够支撑相关毕业要求的达成；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考核方法合理可行。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教务处、学院教学委员会、课程负责人、系教学副主任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课程大纲、教学日历、教材、学生反馈意见、专家听课意见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考核周期：每年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考核结果：通过/不通过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改进措施：如不通过，根据考核结果进行改进，由学院教学委员会审核批准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课程大纲、课程简介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课堂教学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任课教师严格按课程教学大纲和教学计划进度进行教学；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任课教师须充分备课，教学资料齐全；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任课教师能够合理组织教学模式，保证充分的师生交流互动；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合理布置作业并有效批改，答疑安排充分且明确告知学生。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督导组专家、课程组负责人、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领导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《关于加强本科课堂教学管理工作的通知》、《北京科技大学本科课堂教学工作规范》、《北京科技大学新入职教师本科课堂教学准入制度实施办法（试行）》、课程教学大纲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督导听课表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考核周期：每学期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考核结果：课堂基本教学质量评价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改进措施：根据考核结果，如存在问题，反馈至任课教师本人及其课程组负责人，提请改进；如需要，安排专人辅助；如连续多年存在问题，提请学院教学委员会讨论通过，暂停其任课资格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督导听课表和听课小结、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干部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听课表、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学生评教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课程考核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考核方式和内容符合课程教学大纲要求，能够反映课程目标的达成；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课程组统一命题、批改规范；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卷组卷，在指定处制作试卷并保管、不泄题；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过程考核需要有明确评分标准；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认真做好试卷分析。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教务处、教学副院长、系教学副主任、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课程组负责人、督导组专家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《关于做好本科考试工作的若干规定》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、《能源与环境工程学院本科教学考试及材料归档工作细则》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、试卷存档资料（含考卷和答案、成绩单、试卷分析表，平时成绩记录等）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考核周期：每学期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考核结果：通过督导组试卷抽查对课程考核进行评估。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改进措施：将考核中发现的问题反馈至任课教师本人及其课程组负责人，使下一轮课程考核更加合理。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每学期考试情况总结、试卷抽查表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实习实践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明确实习、实践要求和实施途径；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按学校要求填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实习、实践工作计划，有效组织和管控实习、实践过程；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合理评价实习、实践过程和结果。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教务处、教学副院长、督导组专家、系教学主任、生产实习工作组、学科竞赛指导教师、企业指导教师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生产实习工作计划、实习日志、实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、实习大纲、大学生科技创新结题报告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考核周期：每学期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考核结果：实习、实践工作评价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改进措施：根据考核结果，如存在问题，针对存在问题进行改进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实习工作计划、实习报告、实习工作总结等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毕业设计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毕业设计命题符合专业培养要求；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毕业设计各环节严格按照规定的时间节点进行；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学生开题、英文翻译、中期检查、论文、答辩等满足毕业设计规范要求；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182" w:right="0" w:hanging="18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确保论文水平达到专业要求。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教务处、教学副院长、系教学副主任、督导组专家、毕业设计工作组、专业指导教师、企业指导教师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毕业设计任务书、开题报告、英文翻译、中期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检查表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、毕业设计（论文）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考核周期：每学期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考核结果：毕业设计水平是否达到要求的水平；组织流程是否符合规范。</w:t>
            </w:r>
          </w:p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改进措施：根据考核结果，将有关问题反馈给学生、指导教师等进行改进，不断提高毕业设计组织水平和能力培养效果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4" w:beforeAutospacing="0" w:after="48" w:afterAutospacing="0" w:line="288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任务书、开题报告、中期检查表、指导教师评评分表、评阅人评分表、答辩小组评分、答辩记录表、本科生毕业设计(论文)协作指导教师登记表、本科生校外毕业设计(论文)申请表、 本科生毕业设计（论文）题目变更申请表、成绩存档表、毕业设计(论文)计算机应用验收表、毕业设计（论文）等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教学质量监控体系是提高教学质量的质量工程，对实现学院的人才培养目标、培养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创新型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合格人才至关重要。各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系所和专业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要高度重视这一工作，认真贯彻落实本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规范提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出的各项工作。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本办法由能源与环境工程学院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教学委员会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负责解释。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eastAsia="zh-CN"/>
        </w:rPr>
      </w:pPr>
    </w:p>
    <w:p>
      <w:pPr>
        <w:pStyle w:val="7"/>
        <w:widowControl/>
        <w:spacing w:line="480" w:lineRule="exact"/>
        <w:ind w:firstLineChars="15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能源与环境工程学院</w:t>
      </w:r>
    </w:p>
    <w:p>
      <w:pPr>
        <w:pStyle w:val="7"/>
        <w:widowControl/>
        <w:spacing w:line="480" w:lineRule="exact"/>
        <w:ind w:firstLineChars="15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年十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月二十日</w:t>
      </w:r>
    </w:p>
    <w:p>
      <w:pPr>
        <w:pStyle w:val="2"/>
        <w:keepNext w:val="0"/>
        <w:keepLines w:val="0"/>
        <w:widowControl/>
        <w:suppressLineNumbers w:val="0"/>
        <w:spacing w:line="396" w:lineRule="atLeast"/>
        <w:ind w:left="0" w:firstLine="444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406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01C13"/>
    <w:rsid w:val="022E5A29"/>
    <w:rsid w:val="04CA2C6D"/>
    <w:rsid w:val="05176C88"/>
    <w:rsid w:val="06976065"/>
    <w:rsid w:val="07C0724F"/>
    <w:rsid w:val="09002BBC"/>
    <w:rsid w:val="0A23290C"/>
    <w:rsid w:val="0A9D62AE"/>
    <w:rsid w:val="0CE37853"/>
    <w:rsid w:val="0D054B5C"/>
    <w:rsid w:val="0F836839"/>
    <w:rsid w:val="0FB544A4"/>
    <w:rsid w:val="100333DA"/>
    <w:rsid w:val="125D4C83"/>
    <w:rsid w:val="12763FC9"/>
    <w:rsid w:val="12BD1361"/>
    <w:rsid w:val="14FB5A3C"/>
    <w:rsid w:val="16024383"/>
    <w:rsid w:val="1876012A"/>
    <w:rsid w:val="1B681874"/>
    <w:rsid w:val="1BE17BC0"/>
    <w:rsid w:val="1F9D4A3A"/>
    <w:rsid w:val="20B25E18"/>
    <w:rsid w:val="217971BC"/>
    <w:rsid w:val="230D377F"/>
    <w:rsid w:val="23AF2C67"/>
    <w:rsid w:val="245347BC"/>
    <w:rsid w:val="25D10298"/>
    <w:rsid w:val="27E01C13"/>
    <w:rsid w:val="29511CAB"/>
    <w:rsid w:val="307109A1"/>
    <w:rsid w:val="31FE2359"/>
    <w:rsid w:val="320B0FAE"/>
    <w:rsid w:val="3256280F"/>
    <w:rsid w:val="32BA0E44"/>
    <w:rsid w:val="344235D7"/>
    <w:rsid w:val="34D3117D"/>
    <w:rsid w:val="37A86789"/>
    <w:rsid w:val="382A169A"/>
    <w:rsid w:val="38F309EA"/>
    <w:rsid w:val="3A8542C7"/>
    <w:rsid w:val="3D93171E"/>
    <w:rsid w:val="3F6171F4"/>
    <w:rsid w:val="41CE71AD"/>
    <w:rsid w:val="44F05091"/>
    <w:rsid w:val="45D00B18"/>
    <w:rsid w:val="46F91D30"/>
    <w:rsid w:val="473E58BD"/>
    <w:rsid w:val="47D6277B"/>
    <w:rsid w:val="47F825DF"/>
    <w:rsid w:val="496A4B53"/>
    <w:rsid w:val="4B6C61E6"/>
    <w:rsid w:val="4BE06ECC"/>
    <w:rsid w:val="4E05021D"/>
    <w:rsid w:val="4E6B6E1F"/>
    <w:rsid w:val="50172C83"/>
    <w:rsid w:val="5419295C"/>
    <w:rsid w:val="55E90315"/>
    <w:rsid w:val="588C24BB"/>
    <w:rsid w:val="58CA63DC"/>
    <w:rsid w:val="59C93A48"/>
    <w:rsid w:val="5B5C1E36"/>
    <w:rsid w:val="5DB054EA"/>
    <w:rsid w:val="5E132961"/>
    <w:rsid w:val="5E1710FE"/>
    <w:rsid w:val="5F4C367B"/>
    <w:rsid w:val="5F7548FD"/>
    <w:rsid w:val="602320C9"/>
    <w:rsid w:val="6289554E"/>
    <w:rsid w:val="643C5C4F"/>
    <w:rsid w:val="64A147B1"/>
    <w:rsid w:val="66C61977"/>
    <w:rsid w:val="680A4E33"/>
    <w:rsid w:val="6B7F5A9E"/>
    <w:rsid w:val="6DF02E7B"/>
    <w:rsid w:val="6EA03F34"/>
    <w:rsid w:val="70070FCF"/>
    <w:rsid w:val="74E43647"/>
    <w:rsid w:val="775716EA"/>
    <w:rsid w:val="78F92F49"/>
    <w:rsid w:val="792E577D"/>
    <w:rsid w:val="7A873242"/>
    <w:rsid w:val="7DD15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2017-12-28T01:34:00Z</dcterms:created>
  <dc:creator>lenovo</dc:creator>
  <cp:lastModifiedBy>wangjingjing</cp:lastModifiedBy>
  <dcterms:modified xsi:type="dcterms:W3CDTF">2018-03-29T03:30:19Z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